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tabs>
          <w:tab w:val="left" w:leader="none" w:pos="1228"/>
        </w:tabs>
        <w:spacing w:after="280" w:line="240" w:lineRule="auto"/>
        <w:jc w:val="both"/>
        <w:rPr>
          <w:rFonts w:ascii="Aptos" w:cs="Aptos" w:eastAsia="Aptos" w:hAnsi="Aptos"/>
          <w:b w:val="1"/>
          <w:color w:val="1d2125"/>
          <w:sz w:val="32"/>
          <w:szCs w:val="32"/>
        </w:rPr>
      </w:pPr>
      <w:r w:rsidDel="00000000" w:rsidR="00000000" w:rsidRPr="00000000">
        <w:rPr>
          <w:rtl w:val="0"/>
        </w:rPr>
      </w:r>
    </w:p>
    <w:p w:rsidR="00000000" w:rsidDel="00000000" w:rsidP="00000000" w:rsidRDefault="00000000" w:rsidRPr="00000000" w14:paraId="00000002">
      <w:pPr>
        <w:shd w:fill="ffffff" w:val="clear"/>
        <w:tabs>
          <w:tab w:val="left" w:leader="none" w:pos="1228"/>
        </w:tabs>
        <w:spacing w:after="280" w:line="240" w:lineRule="auto"/>
        <w:jc w:val="both"/>
        <w:rPr>
          <w:rFonts w:ascii="Aptos" w:cs="Aptos" w:eastAsia="Aptos" w:hAnsi="Aptos"/>
          <w:b w:val="1"/>
          <w:color w:val="1d2125"/>
          <w:sz w:val="32"/>
          <w:szCs w:val="32"/>
        </w:rPr>
      </w:pPr>
      <w:r w:rsidDel="00000000" w:rsidR="00000000" w:rsidRPr="00000000">
        <w:rPr>
          <w:rtl w:val="0"/>
        </w:rPr>
      </w:r>
    </w:p>
    <w:p w:rsidR="00000000" w:rsidDel="00000000" w:rsidP="00000000" w:rsidRDefault="00000000" w:rsidRPr="00000000" w14:paraId="00000003">
      <w:pPr>
        <w:shd w:fill="ffffff" w:val="clear"/>
        <w:tabs>
          <w:tab w:val="left" w:leader="none" w:pos="1228"/>
        </w:tabs>
        <w:spacing w:after="280" w:line="240" w:lineRule="auto"/>
        <w:jc w:val="both"/>
        <w:rPr>
          <w:rFonts w:ascii="Aeonik" w:cs="Aeonik" w:eastAsia="Aeonik" w:hAnsi="Aeonik"/>
          <w:b w:val="1"/>
          <w:color w:val="1d2125"/>
          <w:sz w:val="36"/>
          <w:szCs w:val="36"/>
        </w:rPr>
      </w:pPr>
      <w:r w:rsidDel="00000000" w:rsidR="00000000" w:rsidRPr="00000000">
        <w:rPr>
          <w:rFonts w:ascii="Aptos" w:cs="Aptos" w:eastAsia="Aptos" w:hAnsi="Aptos"/>
          <w:b w:val="1"/>
          <w:color w:val="1d2125"/>
          <w:sz w:val="32"/>
          <w:szCs w:val="32"/>
          <w:rtl w:val="0"/>
        </w:rPr>
        <w:t xml:space="preserve">Post-course self-assessment form (to be completed on moodle)</w:t>
      </w:r>
      <w:r w:rsidDel="00000000" w:rsidR="00000000" w:rsidRPr="00000000">
        <w:rPr>
          <w:rtl w:val="0"/>
        </w:rPr>
      </w:r>
    </w:p>
    <w:p w:rsidR="00000000" w:rsidDel="00000000" w:rsidP="00000000" w:rsidRDefault="00000000" w:rsidRPr="00000000" w14:paraId="00000004">
      <w:pPr>
        <w:keepNext w:val="1"/>
        <w:keepLines w:val="1"/>
        <w:spacing w:after="80" w:before="360" w:line="278.00000000000006" w:lineRule="auto"/>
        <w:jc w:val="both"/>
        <w:rPr>
          <w:rFonts w:ascii="Aeonik" w:cs="Aeonik" w:eastAsia="Aeonik" w:hAnsi="Aeonik"/>
          <w:color w:val="1d2125"/>
          <w:sz w:val="23"/>
          <w:szCs w:val="23"/>
          <w:highlight w:val="white"/>
        </w:rPr>
      </w:pPr>
      <w:r w:rsidDel="00000000" w:rsidR="00000000" w:rsidRPr="00000000">
        <w:rPr>
          <w:rFonts w:ascii="Aeonik" w:cs="Aeonik" w:eastAsia="Aeonik" w:hAnsi="Aeonik"/>
          <w:color w:val="1d2125"/>
          <w:sz w:val="23"/>
          <w:szCs w:val="23"/>
          <w:highlight w:val="white"/>
          <w:rtl w:val="0"/>
        </w:rPr>
        <w:t xml:space="preserve">This training evaluation form enables us to assess the training's impact. It must be completed at the beginning and end of the course. These forms are an integral part of the course itself. </w:t>
      </w:r>
    </w:p>
    <w:p w:rsidR="00000000" w:rsidDel="00000000" w:rsidP="00000000" w:rsidRDefault="00000000" w:rsidRPr="00000000" w14:paraId="00000005">
      <w:pPr>
        <w:spacing w:after="160" w:line="278.00000000000006" w:lineRule="auto"/>
        <w:rPr>
          <w:rFonts w:ascii="Aptos" w:cs="Aptos" w:eastAsia="Aptos" w:hAnsi="Aptos"/>
          <w:b w:val="1"/>
          <w:color w:val="1d2125"/>
          <w:sz w:val="24"/>
          <w:szCs w:val="24"/>
        </w:rPr>
      </w:pPr>
      <w:r w:rsidDel="00000000" w:rsidR="00000000" w:rsidRPr="00000000">
        <w:rPr>
          <w:rFonts w:ascii="Aptos" w:cs="Aptos" w:eastAsia="Aptos" w:hAnsi="Aptos"/>
          <w:b w:val="1"/>
          <w:color w:val="1d2125"/>
          <w:sz w:val="24"/>
          <w:szCs w:val="24"/>
          <w:rtl w:val="0"/>
        </w:rPr>
        <w:t xml:space="preserve">SESSION NAME</w:t>
        <w:br w:type="textWrapping"/>
        <w:t xml:space="preserve">TRAINING DATES</w:t>
        <w:br w:type="textWrapping"/>
        <w:t xml:space="preserve">PLACE OF TRAINING</w:t>
        <w:br w:type="textWrapping"/>
        <w:t xml:space="preserve">FIRST NAME :</w:t>
      </w:r>
    </w:p>
    <w:p w:rsidR="00000000" w:rsidDel="00000000" w:rsidP="00000000" w:rsidRDefault="00000000" w:rsidRPr="00000000" w14:paraId="00000006">
      <w:pPr>
        <w:spacing w:after="160" w:line="278.00000000000006" w:lineRule="auto"/>
        <w:rPr>
          <w:rFonts w:ascii="Aptos" w:cs="Aptos" w:eastAsia="Aptos" w:hAnsi="Aptos"/>
          <w:sz w:val="24"/>
          <w:szCs w:val="24"/>
        </w:rPr>
      </w:pPr>
      <w:r w:rsidDel="00000000" w:rsidR="00000000" w:rsidRPr="00000000">
        <w:rPr>
          <w:rFonts w:ascii="Aeonik" w:cs="Aeonik" w:eastAsia="Aeonik" w:hAnsi="Aeonik"/>
          <w:color w:val="1d2125"/>
          <w:sz w:val="23"/>
          <w:szCs w:val="23"/>
          <w:highlight w:val="white"/>
          <w:rtl w:val="0"/>
        </w:rPr>
        <w:t xml:space="preserve">For each objective, please estimate your skill level. Please place a cross (X) in the box corresponding to your pre-training skill level.</w:t>
      </w:r>
      <w:r w:rsidDel="00000000" w:rsidR="00000000" w:rsidRPr="00000000">
        <w:rPr>
          <w:rtl w:val="0"/>
        </w:rPr>
      </w:r>
    </w:p>
    <w:p w:rsidR="00000000" w:rsidDel="00000000" w:rsidP="00000000" w:rsidRDefault="00000000" w:rsidRPr="00000000" w14:paraId="00000007">
      <w:pPr>
        <w:spacing w:after="160" w:line="278.00000000000006" w:lineRule="auto"/>
        <w:rPr>
          <w:rFonts w:ascii="Aeonik" w:cs="Aeonik" w:eastAsia="Aeonik" w:hAnsi="Aeonik"/>
          <w:i w:val="1"/>
          <w:color w:val="1d2125"/>
          <w:sz w:val="23"/>
          <w:szCs w:val="23"/>
        </w:rPr>
      </w:pPr>
      <w:r w:rsidDel="00000000" w:rsidR="00000000" w:rsidRPr="00000000">
        <w:rPr>
          <w:rFonts w:ascii="Aeonik" w:cs="Aeonik" w:eastAsia="Aeonik" w:hAnsi="Aeonik"/>
          <w:i w:val="1"/>
          <w:color w:val="1d2125"/>
          <w:sz w:val="23"/>
          <w:szCs w:val="23"/>
          <w:rtl w:val="0"/>
        </w:rPr>
        <w:t xml:space="preserve">0 = not at all capable 5= fully capable</w:t>
      </w:r>
    </w:p>
    <w:p w:rsidR="00000000" w:rsidDel="00000000" w:rsidP="00000000" w:rsidRDefault="00000000" w:rsidRPr="00000000" w14:paraId="00000008">
      <w:pPr>
        <w:spacing w:after="160" w:line="278.00000000000006" w:lineRule="auto"/>
        <w:rPr>
          <w:rFonts w:ascii="Aptos" w:cs="Aptos" w:eastAsia="Aptos" w:hAnsi="Aptos"/>
          <w:sz w:val="24"/>
          <w:szCs w:val="24"/>
        </w:rPr>
      </w:pPr>
      <w:r w:rsidDel="00000000" w:rsidR="00000000" w:rsidRPr="00000000">
        <w:rPr>
          <w:rtl w:val="0"/>
        </w:rPr>
      </w:r>
    </w:p>
    <w:tbl>
      <w:tblPr>
        <w:tblStyle w:val="Table1"/>
        <w:tblW w:w="10263.0" w:type="dxa"/>
        <w:jc w:val="left"/>
        <w:tblInd w:w="70.0" w:type="dxa"/>
        <w:tblBorders>
          <w:top w:color="afb800" w:space="0" w:sz="12" w:val="single"/>
          <w:left w:color="afb800" w:space="0" w:sz="12" w:val="single"/>
          <w:bottom w:color="afb800" w:space="0" w:sz="12" w:val="single"/>
          <w:right w:color="afb800" w:space="0" w:sz="12" w:val="single"/>
          <w:insideH w:color="afb800" w:space="0" w:sz="6" w:val="single"/>
          <w:insideV w:color="afb800" w:space="0" w:sz="6" w:val="single"/>
        </w:tblBorders>
        <w:tblLayout w:type="fixed"/>
        <w:tblLook w:val="0000"/>
      </w:tblPr>
      <w:tblGrid>
        <w:gridCol w:w="6663"/>
        <w:gridCol w:w="600"/>
        <w:gridCol w:w="600"/>
        <w:gridCol w:w="600"/>
        <w:gridCol w:w="600"/>
        <w:gridCol w:w="600"/>
        <w:gridCol w:w="600"/>
        <w:tblGridChange w:id="0">
          <w:tblGrid>
            <w:gridCol w:w="6663"/>
            <w:gridCol w:w="600"/>
            <w:gridCol w:w="600"/>
            <w:gridCol w:w="600"/>
            <w:gridCol w:w="600"/>
            <w:gridCol w:w="600"/>
            <w:gridCol w:w="600"/>
          </w:tblGrid>
        </w:tblGridChange>
      </w:tblGrid>
      <w:tr>
        <w:trPr>
          <w:cantSplit w:val="0"/>
          <w:trHeight w:val="340" w:hRule="atLeast"/>
          <w:tblHeader w:val="0"/>
        </w:trPr>
        <w:tc>
          <w:tcPr>
            <w:tcBorders>
              <w:top w:color="000000" w:space="0" w:sz="0" w:val="nil"/>
              <w:left w:color="000000" w:space="0" w:sz="0" w:val="nil"/>
              <w:bottom w:color="156082" w:space="0" w:sz="4" w:val="single"/>
              <w:right w:color="156082" w:space="0" w:sz="4" w:val="single"/>
            </w:tcBorders>
            <w:vAlign w:val="center"/>
          </w:tcPr>
          <w:p w:rsidR="00000000" w:rsidDel="00000000" w:rsidP="00000000" w:rsidRDefault="00000000" w:rsidRPr="00000000" w14:paraId="00000009">
            <w:pPr>
              <w:spacing w:after="160" w:line="278.00000000000006" w:lineRule="auto"/>
              <w:rPr>
                <w:rFonts w:ascii="Aptos" w:cs="Aptos" w:eastAsia="Aptos" w:hAnsi="Aptos"/>
                <w:i w:val="1"/>
                <w:sz w:val="20"/>
                <w:szCs w:val="20"/>
              </w:rPr>
            </w:pPr>
            <w:r w:rsidDel="00000000" w:rsidR="00000000" w:rsidRPr="00000000">
              <w:rPr>
                <w:rFonts w:ascii="Aptos" w:cs="Aptos" w:eastAsia="Aptos" w:hAnsi="Aptos"/>
                <w:i w:val="1"/>
                <w:sz w:val="20"/>
                <w:szCs w:val="20"/>
                <w:rtl w:val="0"/>
              </w:rPr>
              <w:t xml:space="preserve">0 = Not capable 5 = completely capable</w:t>
            </w:r>
          </w:p>
          <w:p w:rsidR="00000000" w:rsidDel="00000000" w:rsidP="00000000" w:rsidRDefault="00000000" w:rsidRPr="00000000" w14:paraId="0000000A">
            <w:pPr>
              <w:spacing w:after="160" w:line="278.00000000000006" w:lineRule="auto"/>
              <w:rPr>
                <w:rFonts w:ascii="Aptos" w:cs="Aptos" w:eastAsia="Aptos" w:hAnsi="Aptos"/>
                <w:i w:val="1"/>
                <w:sz w:val="18"/>
                <w:szCs w:val="18"/>
              </w:rPr>
            </w:pPr>
            <w:r w:rsidDel="00000000" w:rsidR="00000000" w:rsidRPr="00000000">
              <w:rPr>
                <w:rtl w:val="0"/>
              </w:rPr>
            </w:r>
          </w:p>
          <w:p w:rsidR="00000000" w:rsidDel="00000000" w:rsidP="00000000" w:rsidRDefault="00000000" w:rsidRPr="00000000" w14:paraId="0000000B">
            <w:pPr>
              <w:tabs>
                <w:tab w:val="center" w:leader="none" w:pos="4536"/>
                <w:tab w:val="right" w:leader="none" w:pos="9072"/>
              </w:tabs>
              <w:spacing w:line="240" w:lineRule="auto"/>
              <w:rPr>
                <w:rFonts w:ascii="Aptos" w:cs="Aptos" w:eastAsia="Aptos" w:hAnsi="Aptos"/>
                <w:sz w:val="24"/>
                <w:szCs w:val="24"/>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0C">
            <w:pPr>
              <w:spacing w:after="160" w:line="278.00000000000006" w:lineRule="auto"/>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0</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0D">
            <w:pPr>
              <w:spacing w:after="160" w:line="278.00000000000006" w:lineRule="auto"/>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1</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0E">
            <w:pPr>
              <w:spacing w:after="160" w:line="278.00000000000006" w:lineRule="auto"/>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2</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0F">
            <w:pPr>
              <w:spacing w:after="160" w:line="278.00000000000006" w:lineRule="auto"/>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3</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0">
            <w:pPr>
              <w:spacing w:after="160" w:line="278.00000000000006" w:lineRule="auto"/>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4</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1">
            <w:pPr>
              <w:spacing w:after="160" w:line="278.00000000000006" w:lineRule="auto"/>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5</w:t>
            </w:r>
          </w:p>
        </w:tc>
      </w:tr>
      <w:tr>
        <w:trPr>
          <w:cantSplit w:val="0"/>
          <w:trHeight w:val="652"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12">
            <w:pPr>
              <w:widowControl w:val="0"/>
              <w:spacing w:after="160"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Identify the benefits of a MEAL policy for project teams and international management.</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3">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4">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5">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6">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7">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8">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652"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19">
            <w:pPr>
              <w:widowControl w:val="0"/>
              <w:spacing w:after="160"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List the components of a MEAL system and their definitions.</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A">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B">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C">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D">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E">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1F">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528.3229999999999"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20">
            <w:pPr>
              <w:spacing w:after="160" w:line="278.0000000000000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Understand the main concepts and issues surrounding MEAL</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1">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2">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3">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4">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5">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6">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652"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27">
            <w:pPr>
              <w:spacing w:after="160" w:line="278.0000000000000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Identify monitoring and evaluation processes and stages at each stage of the project cycle.</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8">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9">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A">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B">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C">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D">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601"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2E">
            <w:pPr>
              <w:widowControl w:val="0"/>
              <w:spacing w:after="160" w:line="240" w:lineRule="auto"/>
              <w:rPr>
                <w:rFonts w:ascii="Aptos" w:cs="Aptos" w:eastAsia="Aptos" w:hAnsi="Aptos"/>
                <w:highlight w:val="yellow"/>
              </w:rPr>
            </w:pPr>
            <w:r w:rsidDel="00000000" w:rsidR="00000000" w:rsidRPr="00000000">
              <w:rPr>
                <w:rFonts w:ascii="Montserrat" w:cs="Montserrat" w:eastAsia="Montserrat" w:hAnsi="Montserrat"/>
                <w:sz w:val="18"/>
                <w:szCs w:val="18"/>
                <w:rtl w:val="0"/>
              </w:rPr>
              <w:t xml:space="preserve">Identify and implement M&amp;E tools at each stage of the project cycle.</w:t>
            </w: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2F">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0">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1">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2">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3">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4">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652"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35">
            <w:pPr>
              <w:widowControl w:val="0"/>
              <w:spacing w:after="160"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Identify and implement the information path - M&amp;E tools</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6">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7">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8">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9">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A">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B">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652"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3C">
            <w:pPr>
              <w:spacing w:after="160" w:line="278.00000000000006" w:lineRule="auto"/>
              <w:rPr>
                <w:rFonts w:ascii="Aptos" w:cs="Aptos" w:eastAsia="Aptos" w:hAnsi="Aptos"/>
                <w:highlight w:val="yellow"/>
              </w:rPr>
            </w:pPr>
            <w:r w:rsidDel="00000000" w:rsidR="00000000" w:rsidRPr="00000000">
              <w:rPr>
                <w:rFonts w:ascii="Montserrat" w:cs="Montserrat" w:eastAsia="Montserrat" w:hAnsi="Montserrat"/>
                <w:sz w:val="18"/>
                <w:szCs w:val="18"/>
                <w:rtl w:val="0"/>
              </w:rPr>
              <w:t xml:space="preserve">Evaluate the resources available for M&amp;E in my project.</w:t>
            </w: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D">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E">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3F">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0">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1">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2">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652"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43">
            <w:pPr>
              <w:widowControl w:val="0"/>
              <w:spacing w:after="160" w:line="240" w:lineRule="auto"/>
              <w:rPr>
                <w:rFonts w:ascii="Aptos" w:cs="Aptos" w:eastAsia="Aptos" w:hAnsi="Aptos"/>
                <w:highlight w:val="yellow"/>
              </w:rPr>
            </w:pPr>
            <w:r w:rsidDel="00000000" w:rsidR="00000000" w:rsidRPr="00000000">
              <w:rPr>
                <w:rFonts w:ascii="Montserrat" w:cs="Montserrat" w:eastAsia="Montserrat" w:hAnsi="Montserrat"/>
                <w:sz w:val="18"/>
                <w:szCs w:val="18"/>
                <w:rtl w:val="0"/>
              </w:rPr>
              <w:t xml:space="preserve">Assess the quality of project indicators.</w:t>
            </w: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4">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5">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6">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7">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8">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9">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700"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4A">
            <w:pPr>
              <w:widowControl w:val="0"/>
              <w:spacing w:after="160"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Set up project dashboard parameters </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B">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C">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D">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E">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4F">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0">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700"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51">
            <w:pPr>
              <w:widowControl w:val="0"/>
              <w:spacing w:after="160"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Analyze dashboard data</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2">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3">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4">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5">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6">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7">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700"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58">
            <w:pPr>
              <w:widowControl w:val="0"/>
              <w:spacing w:after="160"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Use data for decision-making and project management</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9">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A">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B">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C">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D">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5E">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700"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5F">
            <w:pPr>
              <w:widowControl w:val="0"/>
              <w:spacing w:after="160"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Using data for reporting</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0">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1">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2">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3">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4">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5">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652"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66">
            <w:pPr>
              <w:widowControl w:val="0"/>
              <w:spacing w:after="160"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Identify the basic elements of data collection.</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7">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8">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9">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A">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B">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C">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656"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6D">
            <w:pPr>
              <w:widowControl w:val="0"/>
              <w:spacing w:after="160"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Prepare a quality questionnaire </w:t>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E">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6F">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0">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1">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2">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3">
            <w:pPr>
              <w:spacing w:after="160" w:line="278.00000000000006" w:lineRule="auto"/>
              <w:jc w:val="center"/>
              <w:rPr>
                <w:rFonts w:ascii="Aptos" w:cs="Aptos" w:eastAsia="Aptos" w:hAnsi="Aptos"/>
                <w:sz w:val="20"/>
                <w:szCs w:val="20"/>
              </w:rPr>
            </w:pPr>
            <w:r w:rsidDel="00000000" w:rsidR="00000000" w:rsidRPr="00000000">
              <w:rPr>
                <w:rtl w:val="0"/>
              </w:rPr>
            </w:r>
          </w:p>
        </w:tc>
      </w:tr>
      <w:tr>
        <w:trPr>
          <w:cantSplit w:val="0"/>
          <w:trHeight w:val="652" w:hRule="atLeast"/>
          <w:tblHeader w:val="0"/>
        </w:trPr>
        <w:tc>
          <w:tcPr>
            <w:tcBorders>
              <w:top w:color="156082" w:space="0" w:sz="4" w:val="single"/>
              <w:left w:color="156082" w:space="0" w:sz="4" w:val="single"/>
              <w:bottom w:color="156082" w:space="0" w:sz="4" w:val="single"/>
              <w:right w:color="156082" w:space="0" w:sz="4" w:val="single"/>
            </w:tcBorders>
            <w:shd w:fill="dae9f7" w:val="clear"/>
            <w:vAlign w:val="center"/>
          </w:tcPr>
          <w:p w:rsidR="00000000" w:rsidDel="00000000" w:rsidP="00000000" w:rsidRDefault="00000000" w:rsidRPr="00000000" w14:paraId="00000074">
            <w:pPr>
              <w:spacing w:after="160" w:line="278.00000000000006" w:lineRule="auto"/>
              <w:rPr>
                <w:rFonts w:ascii="Aptos" w:cs="Aptos" w:eastAsia="Aptos" w:hAnsi="Aptos"/>
              </w:rPr>
            </w:pPr>
            <w:r w:rsidDel="00000000" w:rsidR="00000000" w:rsidRPr="00000000">
              <w:rPr>
                <w:rFonts w:ascii="Montserrat" w:cs="Montserrat" w:eastAsia="Montserrat" w:hAnsi="Montserrat"/>
                <w:sz w:val="18"/>
                <w:szCs w:val="18"/>
                <w:rtl w:val="0"/>
              </w:rPr>
              <w:t xml:space="preserve">List the steps involved in carrying out an assessment.</w:t>
            </w: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5">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6">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7">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8">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9">
            <w:pPr>
              <w:spacing w:after="160" w:line="278.00000000000006" w:lineRule="auto"/>
              <w:jc w:val="center"/>
              <w:rPr>
                <w:rFonts w:ascii="Aptos" w:cs="Aptos" w:eastAsia="Aptos" w:hAnsi="Aptos"/>
                <w:sz w:val="20"/>
                <w:szCs w:val="20"/>
              </w:rPr>
            </w:pPr>
            <w:r w:rsidDel="00000000" w:rsidR="00000000" w:rsidRPr="00000000">
              <w:rPr>
                <w:rtl w:val="0"/>
              </w:rPr>
            </w:r>
          </w:p>
        </w:tc>
        <w:tc>
          <w:tcPr>
            <w:tcBorders>
              <w:top w:color="156082" w:space="0" w:sz="4" w:val="single"/>
              <w:left w:color="156082" w:space="0" w:sz="4" w:val="single"/>
              <w:bottom w:color="156082" w:space="0" w:sz="4" w:val="single"/>
              <w:right w:color="156082" w:space="0" w:sz="4" w:val="single"/>
            </w:tcBorders>
            <w:shd w:fill="auto" w:val="clear"/>
          </w:tcPr>
          <w:p w:rsidR="00000000" w:rsidDel="00000000" w:rsidP="00000000" w:rsidRDefault="00000000" w:rsidRPr="00000000" w14:paraId="0000007A">
            <w:pPr>
              <w:spacing w:after="160" w:line="278.00000000000006" w:lineRule="auto"/>
              <w:jc w:val="center"/>
              <w:rPr>
                <w:rFonts w:ascii="Aptos" w:cs="Aptos" w:eastAsia="Aptos" w:hAnsi="Aptos"/>
                <w:sz w:val="20"/>
                <w:szCs w:val="20"/>
              </w:rPr>
            </w:pPr>
            <w:r w:rsidDel="00000000" w:rsidR="00000000" w:rsidRPr="00000000">
              <w:rPr>
                <w:rtl w:val="0"/>
              </w:rPr>
            </w:r>
          </w:p>
        </w:tc>
      </w:tr>
    </w:tbl>
    <w:p w:rsidR="00000000" w:rsidDel="00000000" w:rsidP="00000000" w:rsidRDefault="00000000" w:rsidRPr="00000000" w14:paraId="0000007B">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eonik"/>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161152" cy="89951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1152" cy="8995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HdpbEmhHsqAzRBEyLeoCkOJ0cw==">CgMxLjA4AHIhMUV2YXIwN1o1ZDJsYjZhU0N3SjA1aDY5dWxmbTBkck5w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